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D1" w:rsidRDefault="007602E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24BD1" w:rsidRDefault="00324BD1">
      <w:pPr>
        <w:spacing w:line="500" w:lineRule="exact"/>
        <w:jc w:val="center"/>
        <w:rPr>
          <w:rFonts w:ascii="黑体" w:eastAsia="黑体" w:hAnsi="黑体"/>
          <w:sz w:val="38"/>
          <w:szCs w:val="38"/>
        </w:rPr>
      </w:pPr>
    </w:p>
    <w:p w:rsidR="00324BD1" w:rsidRDefault="007602E5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上海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高校智库内涵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建设计划实施方案</w:t>
      </w:r>
    </w:p>
    <w:p w:rsidR="00324BD1" w:rsidRDefault="007602E5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（2018年）</w:t>
      </w:r>
    </w:p>
    <w:p w:rsidR="00324BD1" w:rsidRDefault="00324BD1">
      <w:pPr>
        <w:spacing w:line="500" w:lineRule="exact"/>
        <w:rPr>
          <w:rFonts w:ascii="黑体" w:eastAsia="仿宋_GB2312" w:hAnsi="黑体"/>
          <w:sz w:val="38"/>
          <w:szCs w:val="38"/>
        </w:rPr>
      </w:pPr>
    </w:p>
    <w:p w:rsidR="00324BD1" w:rsidRDefault="007602E5">
      <w:pPr>
        <w:spacing w:line="500" w:lineRule="exact"/>
        <w:ind w:right="-62" w:firstLineChars="200" w:firstLine="600"/>
        <w:jc w:val="left"/>
        <w:rPr>
          <w:rFonts w:ascii="仿宋" w:eastAsia="仿宋_GB2312" w:hAnsi="仿宋"/>
          <w:sz w:val="30"/>
          <w:szCs w:val="30"/>
        </w:rPr>
      </w:pPr>
      <w:r>
        <w:rPr>
          <w:rFonts w:ascii="仿宋" w:eastAsia="仿宋_GB2312" w:hAnsi="仿宋" w:cs="仿宋_GB2312" w:hint="eastAsia"/>
          <w:sz w:val="30"/>
          <w:szCs w:val="30"/>
        </w:rPr>
        <w:t>为了贯彻落实中央《关于加强中国特色新型智库建设的意见》和教育部《中国特色新型高校智库建设推进计划》《关于实施高等学校创新能力提升计划的意见》的相关精神，推动上海新型</w:t>
      </w:r>
      <w:proofErr w:type="gramStart"/>
      <w:r>
        <w:rPr>
          <w:rFonts w:ascii="仿宋" w:eastAsia="仿宋_GB2312" w:hAnsi="仿宋" w:cs="仿宋_GB2312" w:hint="eastAsia"/>
          <w:sz w:val="30"/>
          <w:szCs w:val="30"/>
        </w:rPr>
        <w:t>高校智库的</w:t>
      </w:r>
      <w:proofErr w:type="gramEnd"/>
      <w:r>
        <w:rPr>
          <w:rFonts w:ascii="仿宋" w:eastAsia="仿宋_GB2312" w:hAnsi="仿宋" w:cs="仿宋_GB2312" w:hint="eastAsia"/>
          <w:sz w:val="30"/>
          <w:szCs w:val="30"/>
        </w:rPr>
        <w:t>建设与发展，进一步提升</w:t>
      </w:r>
      <w:proofErr w:type="gramStart"/>
      <w:r>
        <w:rPr>
          <w:rFonts w:ascii="仿宋" w:eastAsia="仿宋_GB2312" w:hAnsi="仿宋" w:cs="仿宋_GB2312" w:hint="eastAsia"/>
          <w:sz w:val="30"/>
          <w:szCs w:val="30"/>
        </w:rPr>
        <w:t>高校智库的</w:t>
      </w:r>
      <w:proofErr w:type="gramEnd"/>
      <w:r>
        <w:rPr>
          <w:rFonts w:ascii="仿宋" w:eastAsia="仿宋_GB2312" w:hAnsi="仿宋" w:cs="仿宋_GB2312" w:hint="eastAsia"/>
          <w:sz w:val="30"/>
          <w:szCs w:val="30"/>
        </w:rPr>
        <w:t>内涵能力建设，提升核心竞争力，打造上海新型</w:t>
      </w:r>
      <w:proofErr w:type="gramStart"/>
      <w:r>
        <w:rPr>
          <w:rFonts w:ascii="仿宋" w:eastAsia="仿宋_GB2312" w:hAnsi="仿宋" w:cs="仿宋_GB2312" w:hint="eastAsia"/>
          <w:sz w:val="30"/>
          <w:szCs w:val="30"/>
        </w:rPr>
        <w:t>高校智库品牌</w:t>
      </w:r>
      <w:proofErr w:type="gramEnd"/>
      <w:r>
        <w:rPr>
          <w:rFonts w:ascii="仿宋" w:eastAsia="仿宋_GB2312" w:hAnsi="仿宋" w:cs="仿宋_GB2312" w:hint="eastAsia"/>
          <w:sz w:val="30"/>
          <w:szCs w:val="30"/>
        </w:rPr>
        <w:t>，市教卫工作党委、市教委决定实施上海</w:t>
      </w:r>
      <w:proofErr w:type="gramStart"/>
      <w:r>
        <w:rPr>
          <w:rFonts w:ascii="仿宋" w:eastAsia="仿宋_GB2312" w:hAnsi="仿宋" w:cs="仿宋_GB2312" w:hint="eastAsia"/>
          <w:sz w:val="30"/>
          <w:szCs w:val="30"/>
        </w:rPr>
        <w:t>高校智库的</w:t>
      </w:r>
      <w:proofErr w:type="gramEnd"/>
      <w:r>
        <w:rPr>
          <w:rFonts w:ascii="仿宋" w:eastAsia="仿宋_GB2312" w:hAnsi="仿宋" w:cs="仿宋_GB2312" w:hint="eastAsia"/>
          <w:sz w:val="30"/>
          <w:szCs w:val="30"/>
        </w:rPr>
        <w:t>内涵建设计划。</w:t>
      </w:r>
    </w:p>
    <w:p w:rsidR="00324BD1" w:rsidRDefault="007602E5">
      <w:pPr>
        <w:spacing w:line="500" w:lineRule="exact"/>
        <w:ind w:right="-62" w:firstLineChars="200" w:firstLine="602"/>
        <w:jc w:val="left"/>
        <w:rPr>
          <w:rFonts w:ascii="黑体" w:eastAsia="黑体" w:hAnsi="仿宋"/>
          <w:b/>
          <w:sz w:val="30"/>
          <w:szCs w:val="30"/>
        </w:rPr>
      </w:pPr>
      <w:r>
        <w:rPr>
          <w:rFonts w:ascii="黑体" w:eastAsia="黑体" w:hAnsi="仿宋" w:cs="仿宋_GB2312" w:hint="eastAsia"/>
          <w:b/>
          <w:sz w:val="30"/>
          <w:szCs w:val="30"/>
        </w:rPr>
        <w:t>一、指导思想</w:t>
      </w:r>
    </w:p>
    <w:p w:rsidR="00324BD1" w:rsidRDefault="007602E5">
      <w:pPr>
        <w:spacing w:line="500" w:lineRule="exact"/>
        <w:ind w:right="-62" w:firstLineChars="200" w:firstLine="600"/>
        <w:jc w:val="left"/>
        <w:rPr>
          <w:rFonts w:ascii="仿宋" w:eastAsia="仿宋_GB2312" w:hAnsi="仿宋"/>
          <w:sz w:val="30"/>
          <w:szCs w:val="30"/>
        </w:rPr>
      </w:pPr>
      <w:r>
        <w:rPr>
          <w:rFonts w:ascii="仿宋" w:eastAsia="仿宋_GB2312" w:hAnsi="仿宋" w:cs="仿宋_GB2312" w:hint="eastAsia"/>
          <w:sz w:val="30"/>
          <w:szCs w:val="30"/>
        </w:rPr>
        <w:t>坚持以习近平新时代中国特色社会主义思想为指导，以重大理论和现实问题为主攻方向，坚持理论研究与应用研究并重，</w:t>
      </w:r>
      <w:proofErr w:type="gramStart"/>
      <w:r>
        <w:rPr>
          <w:rFonts w:ascii="仿宋" w:eastAsia="仿宋_GB2312" w:hAnsi="仿宋" w:cs="仿宋_GB2312" w:hint="eastAsia"/>
          <w:sz w:val="30"/>
          <w:szCs w:val="30"/>
        </w:rPr>
        <w:t>聚焦党</w:t>
      </w:r>
      <w:proofErr w:type="gramEnd"/>
      <w:r>
        <w:rPr>
          <w:rFonts w:ascii="仿宋" w:eastAsia="仿宋_GB2312" w:hAnsi="仿宋" w:cs="仿宋_GB2312" w:hint="eastAsia"/>
          <w:sz w:val="30"/>
          <w:szCs w:val="30"/>
        </w:rPr>
        <w:t>的十九大对经济建设、政治建设、文化建设、社会建设、生态文明建设等</w:t>
      </w:r>
      <w:proofErr w:type="gramStart"/>
      <w:r>
        <w:rPr>
          <w:rFonts w:ascii="仿宋" w:eastAsia="仿宋_GB2312" w:hAnsi="仿宋" w:cs="仿宋_GB2312" w:hint="eastAsia"/>
          <w:sz w:val="30"/>
          <w:szCs w:val="30"/>
        </w:rPr>
        <w:t>作出</w:t>
      </w:r>
      <w:proofErr w:type="gramEnd"/>
      <w:r>
        <w:rPr>
          <w:rFonts w:ascii="仿宋" w:eastAsia="仿宋_GB2312" w:hAnsi="仿宋" w:cs="仿宋_GB2312" w:hint="eastAsia"/>
          <w:sz w:val="30"/>
          <w:szCs w:val="30"/>
        </w:rPr>
        <w:t>的新部署，对党的建设提出的新要求，以及国际关系的重大问题，进行高层次的应用对策研究和战略咨询，增强</w:t>
      </w:r>
      <w:proofErr w:type="gramStart"/>
      <w:r>
        <w:rPr>
          <w:rFonts w:ascii="仿宋" w:eastAsia="仿宋_GB2312" w:hAnsi="仿宋" w:cs="仿宋_GB2312" w:hint="eastAsia"/>
          <w:sz w:val="30"/>
          <w:szCs w:val="30"/>
        </w:rPr>
        <w:t>高校智库在</w:t>
      </w:r>
      <w:proofErr w:type="gramEnd"/>
      <w:r>
        <w:rPr>
          <w:rFonts w:ascii="仿宋" w:eastAsia="仿宋_GB2312" w:hAnsi="仿宋" w:cs="仿宋_GB2312" w:hint="eastAsia"/>
          <w:sz w:val="30"/>
          <w:szCs w:val="30"/>
        </w:rPr>
        <w:t>国家和上海发展中的贡献度。</w:t>
      </w:r>
    </w:p>
    <w:p w:rsidR="00324BD1" w:rsidRDefault="007602E5">
      <w:pPr>
        <w:spacing w:line="500" w:lineRule="exact"/>
        <w:ind w:right="-62" w:firstLineChars="200" w:firstLine="602"/>
        <w:jc w:val="left"/>
        <w:rPr>
          <w:rFonts w:ascii="黑体" w:eastAsia="黑体" w:hAnsi="仿宋" w:cs="仿宋_GB2312"/>
          <w:b/>
          <w:sz w:val="30"/>
          <w:szCs w:val="30"/>
        </w:rPr>
      </w:pPr>
      <w:r>
        <w:rPr>
          <w:rFonts w:ascii="黑体" w:eastAsia="黑体" w:hAnsi="仿宋" w:cs="仿宋_GB2312" w:hint="eastAsia"/>
          <w:b/>
          <w:sz w:val="30"/>
          <w:szCs w:val="30"/>
        </w:rPr>
        <w:t>二、建设原则</w:t>
      </w:r>
    </w:p>
    <w:p w:rsidR="00324BD1" w:rsidRDefault="007602E5">
      <w:pPr>
        <w:spacing w:line="500" w:lineRule="exact"/>
        <w:ind w:right="-62" w:firstLineChars="200" w:firstLine="600"/>
        <w:jc w:val="left"/>
        <w:rPr>
          <w:rFonts w:ascii="仿宋" w:eastAsia="仿宋_GB2312" w:hAnsi="仿宋"/>
          <w:sz w:val="30"/>
          <w:szCs w:val="30"/>
        </w:rPr>
      </w:pPr>
      <w:r>
        <w:rPr>
          <w:rFonts w:ascii="仿宋" w:eastAsia="仿宋_GB2312" w:hAnsi="仿宋" w:cs="仿宋"/>
          <w:sz w:val="30"/>
          <w:szCs w:val="30"/>
        </w:rPr>
        <w:t>1</w:t>
      </w:r>
      <w:r>
        <w:rPr>
          <w:rFonts w:ascii="仿宋" w:eastAsia="仿宋_GB2312" w:hAnsi="仿宋" w:cs="仿宋_GB2312" w:hint="eastAsia"/>
          <w:sz w:val="30"/>
          <w:szCs w:val="30"/>
        </w:rPr>
        <w:t>.</w:t>
      </w:r>
      <w:r>
        <w:rPr>
          <w:rFonts w:ascii="仿宋" w:eastAsia="仿宋_GB2312" w:hAnsi="仿宋" w:cs="仿宋_GB2312" w:hint="eastAsia"/>
          <w:sz w:val="30"/>
          <w:szCs w:val="30"/>
        </w:rPr>
        <w:t>坚持党的领导，把握正确导向。坚持党管高校智库，坚持中国特色社会主义方向，遵守国家宪法法律法规，始终以国家利益为根本出发点。</w:t>
      </w:r>
    </w:p>
    <w:p w:rsidR="00324BD1" w:rsidRDefault="007602E5">
      <w:pPr>
        <w:spacing w:line="500" w:lineRule="exact"/>
        <w:ind w:right="-62" w:firstLineChars="200" w:firstLine="600"/>
        <w:jc w:val="left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cs="仿宋"/>
          <w:color w:val="000000"/>
          <w:sz w:val="30"/>
          <w:szCs w:val="30"/>
        </w:rPr>
        <w:t>2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.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坚持围绕大局，服务中心工作。紧紧围绕党和政府决策急需的重大课题，开展前瞻性、针对性、储备性政策研究，提出专业化、建设性、切实管用的政策建议，着力提高综合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研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判和战略谋划能力。</w:t>
      </w:r>
    </w:p>
    <w:p w:rsidR="00324BD1" w:rsidRDefault="007602E5">
      <w:pPr>
        <w:spacing w:line="500" w:lineRule="exact"/>
        <w:ind w:right="-62" w:firstLineChars="200" w:firstLine="600"/>
        <w:jc w:val="left"/>
        <w:rPr>
          <w:rFonts w:ascii="仿宋" w:eastAsia="仿宋_GB2312" w:hAnsi="仿宋" w:cs="仿宋_GB2312"/>
          <w:color w:val="000000"/>
          <w:sz w:val="30"/>
          <w:szCs w:val="30"/>
        </w:rPr>
      </w:pPr>
      <w:r>
        <w:rPr>
          <w:rFonts w:ascii="仿宋" w:eastAsia="仿宋_GB2312" w:hAnsi="仿宋" w:cs="仿宋"/>
          <w:color w:val="000000"/>
          <w:sz w:val="30"/>
          <w:szCs w:val="30"/>
        </w:rPr>
        <w:t>3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.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坚持改革创新，加强规范管理。科学界定各项目的功能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lastRenderedPageBreak/>
        <w:t>定位，进一步调整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优化智库布局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，促进各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类智库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有序发展，不断完善高校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智库研究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资金管理制度。</w:t>
      </w:r>
    </w:p>
    <w:p w:rsidR="00324BD1" w:rsidRDefault="007602E5">
      <w:pPr>
        <w:spacing w:line="500" w:lineRule="exact"/>
        <w:ind w:right="-62" w:firstLineChars="200" w:firstLine="602"/>
        <w:jc w:val="left"/>
        <w:rPr>
          <w:rFonts w:ascii="黑体" w:eastAsia="黑体" w:hAnsi="仿宋" w:cs="仿宋_GB2312"/>
          <w:b/>
          <w:sz w:val="30"/>
          <w:szCs w:val="30"/>
        </w:rPr>
      </w:pPr>
      <w:r>
        <w:rPr>
          <w:rFonts w:ascii="黑体" w:eastAsia="黑体" w:hAnsi="仿宋" w:cs="仿宋_GB2312" w:hint="eastAsia"/>
          <w:b/>
          <w:sz w:val="30"/>
          <w:szCs w:val="30"/>
        </w:rPr>
        <w:t>三、建设目标</w:t>
      </w:r>
    </w:p>
    <w:p w:rsidR="00324BD1" w:rsidRDefault="007602E5">
      <w:pPr>
        <w:spacing w:line="500" w:lineRule="exact"/>
        <w:ind w:right="-62" w:firstLineChars="200" w:firstLine="600"/>
        <w:jc w:val="left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cs="仿宋_GB2312" w:hint="eastAsia"/>
          <w:color w:val="000000"/>
          <w:sz w:val="30"/>
          <w:szCs w:val="30"/>
        </w:rPr>
        <w:t>通过上海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高校智库内涵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建设计划，打造一批立足上海、服务全国、具有国际影响力的新型高校智库，使上海高校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智库成为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开展决策咨询的重要机构、探索高校科研改革的重要组成部分、培养决策咨询人才以及引领公共舆论和支撑公共外交的重要基地。</w:t>
      </w:r>
    </w:p>
    <w:p w:rsidR="00324BD1" w:rsidRDefault="007602E5">
      <w:pPr>
        <w:spacing w:line="500" w:lineRule="exact"/>
        <w:ind w:right="-62" w:firstLineChars="200" w:firstLine="602"/>
        <w:jc w:val="left"/>
        <w:rPr>
          <w:rFonts w:ascii="黑体" w:eastAsia="黑体" w:hAnsi="仿宋" w:cs="仿宋_GB2312"/>
          <w:b/>
          <w:sz w:val="30"/>
          <w:szCs w:val="30"/>
        </w:rPr>
      </w:pPr>
      <w:r>
        <w:rPr>
          <w:rFonts w:ascii="黑体" w:eastAsia="黑体" w:hAnsi="仿宋" w:cs="仿宋_GB2312" w:hint="eastAsia"/>
          <w:b/>
          <w:sz w:val="30"/>
          <w:szCs w:val="30"/>
        </w:rPr>
        <w:t>四、内涵建设计划任务</w:t>
      </w:r>
    </w:p>
    <w:p w:rsidR="00324BD1" w:rsidRDefault="007602E5">
      <w:pPr>
        <w:spacing w:line="500" w:lineRule="exact"/>
        <w:ind w:right="-62" w:firstLineChars="200" w:firstLine="602"/>
        <w:jc w:val="left"/>
        <w:rPr>
          <w:rFonts w:ascii="黑体" w:eastAsia="仿宋_GB2312" w:hAnsi="黑体" w:cs="仿宋_GB2312"/>
          <w:b/>
          <w:sz w:val="30"/>
          <w:szCs w:val="30"/>
        </w:rPr>
      </w:pPr>
      <w:r>
        <w:rPr>
          <w:rFonts w:ascii="黑体" w:eastAsia="仿宋_GB2312" w:hAnsi="黑体" w:cs="仿宋_GB2312" w:hint="eastAsia"/>
          <w:b/>
          <w:sz w:val="30"/>
          <w:szCs w:val="30"/>
        </w:rPr>
        <w:t>（一）战略研究项目</w:t>
      </w:r>
    </w:p>
    <w:p w:rsidR="00324BD1" w:rsidRDefault="007602E5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鼓励高校研究团队，围绕特定领域的全局性、战略性、前瞻性问题开展研究，及时向党和政府各相关部门，以及重要行业提供强有力的决策咨询服务，进一步扩大上海</w:t>
      </w:r>
      <w:proofErr w:type="gramStart"/>
      <w:r>
        <w:rPr>
          <w:rFonts w:ascii="黑体" w:eastAsia="仿宋_GB2312" w:hAnsi="黑体" w:cs="仿宋_GB2312" w:hint="eastAsia"/>
          <w:color w:val="000000"/>
          <w:sz w:val="30"/>
          <w:szCs w:val="30"/>
        </w:rPr>
        <w:t>高校智库的</w:t>
      </w:r>
      <w:proofErr w:type="gramEnd"/>
      <w:r>
        <w:rPr>
          <w:rFonts w:ascii="黑体" w:eastAsia="仿宋_GB2312" w:hAnsi="黑体" w:cs="仿宋_GB2312" w:hint="eastAsia"/>
          <w:color w:val="000000"/>
          <w:sz w:val="30"/>
          <w:szCs w:val="30"/>
        </w:rPr>
        <w:t>决策咨询能力和影响力。</w:t>
      </w:r>
    </w:p>
    <w:p w:rsidR="00324BD1" w:rsidRDefault="007602E5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项目研究团队负责人须由</w:t>
      </w:r>
      <w:proofErr w:type="gramStart"/>
      <w:r>
        <w:rPr>
          <w:rFonts w:ascii="黑体" w:eastAsia="仿宋_GB2312" w:hAnsi="黑体" w:cs="仿宋_GB2312" w:hint="eastAsia"/>
          <w:color w:val="000000"/>
          <w:sz w:val="30"/>
          <w:szCs w:val="30"/>
        </w:rPr>
        <w:t>智库成员</w:t>
      </w:r>
      <w:proofErr w:type="gramEnd"/>
      <w:r>
        <w:rPr>
          <w:rFonts w:ascii="黑体" w:eastAsia="仿宋_GB2312" w:hAnsi="黑体" w:cs="仿宋_GB2312" w:hint="eastAsia"/>
          <w:color w:val="000000"/>
          <w:sz w:val="30"/>
          <w:szCs w:val="30"/>
        </w:rPr>
        <w:t>担任，项目组成员可以包括</w:t>
      </w:r>
      <w:proofErr w:type="gramStart"/>
      <w:r>
        <w:rPr>
          <w:rFonts w:ascii="黑体" w:eastAsia="仿宋_GB2312" w:hAnsi="黑体" w:cs="仿宋_GB2312" w:hint="eastAsia"/>
          <w:color w:val="000000"/>
          <w:sz w:val="30"/>
          <w:szCs w:val="30"/>
        </w:rPr>
        <w:t>智库成员和非智库</w:t>
      </w:r>
      <w:proofErr w:type="gramEnd"/>
      <w:r>
        <w:rPr>
          <w:rFonts w:ascii="黑体" w:eastAsia="仿宋_GB2312" w:hAnsi="黑体" w:cs="仿宋_GB2312" w:hint="eastAsia"/>
          <w:color w:val="000000"/>
          <w:sz w:val="30"/>
          <w:szCs w:val="30"/>
        </w:rPr>
        <w:t>成员，鼓励各方人员积极参与决策咨询研究。研究项目要明确研究特点、报送对象等。成果应包括决策咨询专报和研究报告等。每个项目组提交</w:t>
      </w:r>
      <w:r>
        <w:rPr>
          <w:rFonts w:ascii="黑体" w:eastAsia="仿宋_GB2312" w:hAnsi="黑体" w:cs="仿宋_GB2312" w:hint="eastAsia"/>
          <w:b/>
          <w:color w:val="000000"/>
          <w:sz w:val="30"/>
          <w:szCs w:val="30"/>
        </w:rPr>
        <w:t>5</w:t>
      </w:r>
      <w:r>
        <w:rPr>
          <w:rFonts w:ascii="黑体" w:eastAsia="仿宋_GB2312" w:hAnsi="黑体" w:cs="仿宋_GB2312" w:hint="eastAsia"/>
          <w:b/>
          <w:color w:val="000000"/>
          <w:sz w:val="30"/>
          <w:szCs w:val="30"/>
        </w:rPr>
        <w:t>份以上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决策咨询专报，同时积极承接与项目相关的约稿任务。研究报告如需公开出版，需征得市教卫工作党委、市教委同意。</w:t>
      </w:r>
    </w:p>
    <w:p w:rsidR="00324BD1" w:rsidRDefault="007602E5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>
        <w:rPr>
          <w:rFonts w:ascii="黑体" w:eastAsia="仿宋_GB2312" w:hAnsi="黑体" w:cs="仿宋_GB2312" w:hint="eastAsia"/>
          <w:color w:val="000000"/>
          <w:sz w:val="30"/>
          <w:szCs w:val="30"/>
        </w:rPr>
        <w:t>每家机构限制报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2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项战略研究项目，单个战略研究项目的建设经费不超过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15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万元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/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int="eastAsia"/>
          <w:color w:val="000000"/>
          <w:sz w:val="30"/>
          <w:szCs w:val="30"/>
        </w:rPr>
        <w:t>（具体以财评审定金额为准）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。已有其他资金立项资助的项目不得重复申报。</w:t>
      </w:r>
    </w:p>
    <w:p w:rsidR="00324BD1" w:rsidRDefault="007602E5">
      <w:pPr>
        <w:spacing w:line="500" w:lineRule="exact"/>
        <w:ind w:right="-62" w:firstLineChars="200" w:firstLine="602"/>
        <w:jc w:val="left"/>
        <w:rPr>
          <w:rFonts w:ascii="仿宋" w:eastAsia="仿宋_GB2312" w:hAnsi="仿宋" w:cs="仿宋_GB2312"/>
          <w:b/>
          <w:color w:val="000000"/>
          <w:sz w:val="30"/>
          <w:szCs w:val="30"/>
        </w:rPr>
      </w:pPr>
      <w:r>
        <w:rPr>
          <w:rFonts w:ascii="黑体" w:eastAsia="仿宋_GB2312" w:hAnsi="黑体" w:cs="仿宋_GB2312" w:hint="eastAsia"/>
          <w:b/>
          <w:sz w:val="30"/>
          <w:szCs w:val="30"/>
        </w:rPr>
        <w:t>（二）</w:t>
      </w:r>
      <w:r>
        <w:rPr>
          <w:rFonts w:ascii="仿宋" w:eastAsia="仿宋_GB2312" w:hAnsi="仿宋" w:cs="仿宋_GB2312" w:hint="eastAsia"/>
          <w:b/>
          <w:color w:val="000000"/>
          <w:sz w:val="30"/>
          <w:szCs w:val="30"/>
        </w:rPr>
        <w:t>系列学术论坛</w:t>
      </w:r>
    </w:p>
    <w:p w:rsidR="00324BD1" w:rsidRDefault="007602E5">
      <w:pPr>
        <w:spacing w:line="500" w:lineRule="exact"/>
        <w:ind w:right="-62" w:firstLineChars="200" w:firstLine="600"/>
        <w:jc w:val="left"/>
        <w:rPr>
          <w:rFonts w:ascii="仿宋" w:eastAsia="仿宋_GB2312" w:hAnsi="仿宋" w:cs="仿宋_GB2312"/>
          <w:color w:val="000000"/>
          <w:sz w:val="30"/>
          <w:szCs w:val="30"/>
        </w:rPr>
      </w:pPr>
      <w:r>
        <w:rPr>
          <w:rFonts w:ascii="仿宋" w:eastAsia="仿宋_GB2312" w:hAnsi="仿宋" w:cs="仿宋_GB2312" w:hint="eastAsia"/>
          <w:color w:val="000000"/>
          <w:sz w:val="30"/>
          <w:szCs w:val="30"/>
        </w:rPr>
        <w:t>鼓励高校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智库结合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自身研究领域和专长，聚焦国家和上海面临的重大问题，精心策划和举办系列学术论坛，产生解决问题的新思想、新思路和新方案。由上海高校智库管理中心围绕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lastRenderedPageBreak/>
        <w:t>重大选题和重要时间节点举办大型论坛时，各机构应积极参与或者轮流承办。“系列学术论坛”在项目周期内需举办</w:t>
      </w:r>
      <w:r>
        <w:rPr>
          <w:rFonts w:ascii="仿宋" w:eastAsia="仿宋_GB2312" w:hAnsi="仿宋" w:cs="仿宋_GB2312" w:hint="eastAsia"/>
          <w:b/>
          <w:color w:val="000000"/>
          <w:sz w:val="30"/>
          <w:szCs w:val="30"/>
        </w:rPr>
        <w:t>3</w:t>
      </w:r>
      <w:r>
        <w:rPr>
          <w:rFonts w:ascii="仿宋" w:eastAsia="仿宋_GB2312" w:hAnsi="仿宋" w:cs="仿宋_GB2312" w:hint="eastAsia"/>
          <w:b/>
          <w:color w:val="000000"/>
          <w:sz w:val="30"/>
          <w:szCs w:val="30"/>
        </w:rPr>
        <w:t>次左右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，邀请领域内知名专家参与讨论，并形成综合性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研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判成果，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提交</w:t>
      </w:r>
      <w:r>
        <w:rPr>
          <w:rFonts w:ascii="黑体" w:eastAsia="仿宋_GB2312" w:hAnsi="黑体" w:cs="仿宋_GB2312" w:hint="eastAsia"/>
          <w:b/>
          <w:color w:val="000000"/>
          <w:sz w:val="30"/>
          <w:szCs w:val="30"/>
        </w:rPr>
        <w:t>3</w:t>
      </w:r>
      <w:r>
        <w:rPr>
          <w:rFonts w:ascii="黑体" w:eastAsia="仿宋_GB2312" w:hAnsi="黑体" w:cs="仿宋_GB2312" w:hint="eastAsia"/>
          <w:b/>
          <w:color w:val="000000"/>
          <w:sz w:val="30"/>
          <w:szCs w:val="30"/>
        </w:rPr>
        <w:t>份以上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决策咨询专报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。</w:t>
      </w:r>
    </w:p>
    <w:p w:rsidR="00324BD1" w:rsidRDefault="007602E5">
      <w:pPr>
        <w:spacing w:line="500" w:lineRule="exact"/>
        <w:ind w:right="-62" w:firstLineChars="200" w:firstLine="600"/>
        <w:jc w:val="left"/>
        <w:rPr>
          <w:rFonts w:ascii="仿宋" w:eastAsia="仿宋_GB2312" w:hAnsi="仿宋" w:cs="仿宋_GB2312"/>
          <w:color w:val="000000"/>
          <w:sz w:val="30"/>
          <w:szCs w:val="30"/>
        </w:rPr>
      </w:pPr>
      <w:r>
        <w:rPr>
          <w:rFonts w:ascii="仿宋" w:eastAsia="仿宋_GB2312" w:hAnsi="仿宋" w:cs="仿宋_GB2312" w:hint="eastAsia"/>
          <w:color w:val="000000"/>
          <w:sz w:val="30"/>
          <w:szCs w:val="30"/>
        </w:rPr>
        <w:t>申报系列论坛需有前期基础，至少举办过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1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次类似论坛。每家机构限申报</w:t>
      </w:r>
      <w:r>
        <w:rPr>
          <w:rFonts w:ascii="仿宋" w:eastAsia="仿宋_GB2312" w:hAnsi="仿宋" w:cs="仿宋_GB2312" w:hint="eastAsia"/>
          <w:b/>
          <w:bCs/>
          <w:color w:val="000000"/>
          <w:sz w:val="30"/>
          <w:szCs w:val="30"/>
        </w:rPr>
        <w:t>2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项，每项资助金额不超过</w:t>
      </w:r>
      <w:r>
        <w:rPr>
          <w:rFonts w:ascii="仿宋" w:eastAsia="仿宋_GB2312" w:hAnsi="仿宋" w:cs="仿宋_GB2312"/>
          <w:color w:val="000000"/>
          <w:sz w:val="30"/>
          <w:szCs w:val="30"/>
        </w:rPr>
        <w:t>20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万元</w:t>
      </w:r>
      <w:r>
        <w:rPr>
          <w:rFonts w:ascii="仿宋_GB2312" w:eastAsia="仿宋_GB2312" w:hint="eastAsia"/>
          <w:color w:val="000000"/>
          <w:sz w:val="30"/>
          <w:szCs w:val="30"/>
        </w:rPr>
        <w:t>（具体以财评审定金额为准）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。</w:t>
      </w:r>
    </w:p>
    <w:p w:rsidR="00324BD1" w:rsidRDefault="007602E5">
      <w:pPr>
        <w:spacing w:line="500" w:lineRule="exact"/>
        <w:ind w:right="-62" w:firstLineChars="200" w:firstLine="600"/>
        <w:jc w:val="left"/>
        <w:rPr>
          <w:rFonts w:ascii="仿宋" w:eastAsia="仿宋_GB2312" w:hAnsi="仿宋" w:cs="仿宋_GB2312"/>
          <w:color w:val="000000"/>
          <w:sz w:val="30"/>
          <w:szCs w:val="30"/>
        </w:rPr>
      </w:pPr>
      <w:r>
        <w:rPr>
          <w:rFonts w:ascii="仿宋" w:eastAsia="仿宋_GB2312" w:hAnsi="仿宋" w:cs="仿宋_GB2312" w:hint="eastAsia"/>
          <w:color w:val="000000"/>
          <w:sz w:val="30"/>
          <w:szCs w:val="30"/>
        </w:rPr>
        <w:t>以上受资助的所有专报和活动要标明“上海高校智库”的字样，相关材料需妥善保存，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在结项验收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时一并提交。在成果报送上，鼓励广辟渠道，多途径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报送智库成果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，特别是要及时主动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对接党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和政府的信息主渠道部门，用好市教卫工作党委直报点等内参通道，提升服务决策时效性。同时积极扩大各类活动的社会影响；与新闻媒体进行合作，积极对各类活动的动态和观点进行报道和宣传。</w:t>
      </w:r>
    </w:p>
    <w:p w:rsidR="00324BD1" w:rsidRDefault="007602E5" w:rsidP="007737D6">
      <w:pPr>
        <w:spacing w:line="500" w:lineRule="exact"/>
        <w:ind w:right="-62" w:firstLineChars="200" w:firstLine="600"/>
        <w:jc w:val="left"/>
      </w:pP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所有智库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项目的观点和数据公开发布应遵守相关制度规定，切实维护国家安全。</w:t>
      </w:r>
      <w:bookmarkStart w:id="0" w:name="_GoBack"/>
      <w:bookmarkEnd w:id="0"/>
    </w:p>
    <w:sectPr w:rsidR="00324BD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8B7" w:rsidRDefault="00C618B7">
      <w:r>
        <w:separator/>
      </w:r>
    </w:p>
  </w:endnote>
  <w:endnote w:type="continuationSeparator" w:id="0">
    <w:p w:rsidR="00C618B7" w:rsidRDefault="00C6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D1" w:rsidRDefault="007602E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737D6">
      <w:rPr>
        <w:rStyle w:val="aa"/>
        <w:noProof/>
      </w:rPr>
      <w:t>3</w:t>
    </w:r>
    <w:r>
      <w:rPr>
        <w:rStyle w:val="aa"/>
      </w:rPr>
      <w:fldChar w:fldCharType="end"/>
    </w:r>
  </w:p>
  <w:p w:rsidR="00324BD1" w:rsidRDefault="00324B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8B7" w:rsidRDefault="00C618B7">
      <w:r>
        <w:separator/>
      </w:r>
    </w:p>
  </w:footnote>
  <w:footnote w:type="continuationSeparator" w:id="0">
    <w:p w:rsidR="00C618B7" w:rsidRDefault="00C6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7BBC"/>
    <w:multiLevelType w:val="singleLevel"/>
    <w:tmpl w:val="01867BB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5B"/>
    <w:rsid w:val="000514EF"/>
    <w:rsid w:val="000552C2"/>
    <w:rsid w:val="00073654"/>
    <w:rsid w:val="00094ADB"/>
    <w:rsid w:val="000F5BA0"/>
    <w:rsid w:val="00143B9C"/>
    <w:rsid w:val="001546D7"/>
    <w:rsid w:val="001A0AB9"/>
    <w:rsid w:val="001C0499"/>
    <w:rsid w:val="001C32B1"/>
    <w:rsid w:val="00236B43"/>
    <w:rsid w:val="00272F80"/>
    <w:rsid w:val="002A074A"/>
    <w:rsid w:val="0030512B"/>
    <w:rsid w:val="00322398"/>
    <w:rsid w:val="00324BD1"/>
    <w:rsid w:val="00332432"/>
    <w:rsid w:val="00365E27"/>
    <w:rsid w:val="00372988"/>
    <w:rsid w:val="0038342F"/>
    <w:rsid w:val="003B13D4"/>
    <w:rsid w:val="00404095"/>
    <w:rsid w:val="00440BB5"/>
    <w:rsid w:val="00446A1D"/>
    <w:rsid w:val="00454DCE"/>
    <w:rsid w:val="004609E0"/>
    <w:rsid w:val="004659D0"/>
    <w:rsid w:val="00507D49"/>
    <w:rsid w:val="00544F93"/>
    <w:rsid w:val="005B38D1"/>
    <w:rsid w:val="005C459D"/>
    <w:rsid w:val="005F2019"/>
    <w:rsid w:val="0062099D"/>
    <w:rsid w:val="00633821"/>
    <w:rsid w:val="00641A1A"/>
    <w:rsid w:val="006A1C3D"/>
    <w:rsid w:val="00723EE1"/>
    <w:rsid w:val="0074740D"/>
    <w:rsid w:val="007602E5"/>
    <w:rsid w:val="007737D6"/>
    <w:rsid w:val="00815B41"/>
    <w:rsid w:val="0083430E"/>
    <w:rsid w:val="00851DAF"/>
    <w:rsid w:val="008F3485"/>
    <w:rsid w:val="00926431"/>
    <w:rsid w:val="009368B5"/>
    <w:rsid w:val="0097047E"/>
    <w:rsid w:val="009A248D"/>
    <w:rsid w:val="009C77F8"/>
    <w:rsid w:val="00A32869"/>
    <w:rsid w:val="00AA4256"/>
    <w:rsid w:val="00B0167D"/>
    <w:rsid w:val="00B21219"/>
    <w:rsid w:val="00B96A28"/>
    <w:rsid w:val="00C618B7"/>
    <w:rsid w:val="00C7101F"/>
    <w:rsid w:val="00C72B5B"/>
    <w:rsid w:val="00CA51D3"/>
    <w:rsid w:val="00CE15F2"/>
    <w:rsid w:val="00CF1D63"/>
    <w:rsid w:val="00D11CB2"/>
    <w:rsid w:val="00D15B6D"/>
    <w:rsid w:val="00D37E0D"/>
    <w:rsid w:val="00E1655D"/>
    <w:rsid w:val="00E63153"/>
    <w:rsid w:val="00F53F9D"/>
    <w:rsid w:val="00FC36D0"/>
    <w:rsid w:val="00FF35D3"/>
    <w:rsid w:val="02E8234F"/>
    <w:rsid w:val="04EA3C58"/>
    <w:rsid w:val="06484686"/>
    <w:rsid w:val="097319EC"/>
    <w:rsid w:val="2DEB6F46"/>
    <w:rsid w:val="37F061CD"/>
    <w:rsid w:val="4509455C"/>
    <w:rsid w:val="4EBF464D"/>
    <w:rsid w:val="507C4BC1"/>
    <w:rsid w:val="643C21B0"/>
    <w:rsid w:val="6F0736C7"/>
    <w:rsid w:val="6FC44C85"/>
    <w:rsid w:val="77B33458"/>
    <w:rsid w:val="799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46D4C-1AA1-421B-AD1F-C479A696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page number"/>
    <w:basedOn w:val="a0"/>
    <w:uiPriority w:val="99"/>
    <w:qFormat/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1276</Characters>
  <Application>Microsoft Office Word</Application>
  <DocSecurity>0</DocSecurity>
  <Lines>10</Lines>
  <Paragraphs>2</Paragraphs>
  <ScaleCrop>false</ScaleCrop>
  <Company>shmec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geng liang</cp:lastModifiedBy>
  <cp:revision>3</cp:revision>
  <cp:lastPrinted>2018-07-05T06:40:00Z</cp:lastPrinted>
  <dcterms:created xsi:type="dcterms:W3CDTF">2018-07-12T01:58:00Z</dcterms:created>
  <dcterms:modified xsi:type="dcterms:W3CDTF">2018-07-12T02:00:00Z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